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6B" w:rsidRPr="00315681" w:rsidRDefault="00C15291" w:rsidP="0072786B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 xml:space="preserve">MÄÄRUSE </w:t>
      </w:r>
      <w:r w:rsidR="0072786B" w:rsidRPr="00315681">
        <w:rPr>
          <w:rFonts w:eastAsiaTheme="minorHAnsi" w:cstheme="minorBidi"/>
          <w:b/>
        </w:rPr>
        <w:t>EELNÕU SELETUSKIRI</w:t>
      </w:r>
    </w:p>
    <w:p w:rsidR="0072786B" w:rsidRPr="00315681" w:rsidRDefault="0072786B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80"/>
        <w:gridCol w:w="5799"/>
      </w:tblGrid>
      <w:tr w:rsidR="0072786B" w:rsidRPr="007A041B" w:rsidTr="008D0291">
        <w:tc>
          <w:tcPr>
            <w:tcW w:w="3085" w:type="dxa"/>
          </w:tcPr>
          <w:p w:rsidR="0072786B" w:rsidRPr="007A041B" w:rsidRDefault="0072786B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Akti andja:</w:t>
            </w:r>
          </w:p>
        </w:tc>
        <w:tc>
          <w:tcPr>
            <w:tcW w:w="6127" w:type="dxa"/>
          </w:tcPr>
          <w:p w:rsidR="0072786B" w:rsidRPr="007A041B" w:rsidRDefault="00BA04F7" w:rsidP="00A3430A">
            <w:pPr>
              <w:rPr>
                <w:rFonts w:eastAsiaTheme="minorHAnsi" w:cs="Times New Roman"/>
                <w:szCs w:val="24"/>
              </w:rPr>
            </w:pPr>
            <w:r w:rsidRPr="007A041B">
              <w:rPr>
                <w:rFonts w:eastAsiaTheme="minorHAnsi" w:cs="Times New Roman"/>
                <w:szCs w:val="24"/>
              </w:rPr>
              <w:t xml:space="preserve">Märjamaa </w:t>
            </w:r>
            <w:r w:rsidR="0072786B" w:rsidRPr="007A041B">
              <w:rPr>
                <w:rFonts w:eastAsiaTheme="minorHAnsi" w:cs="Times New Roman"/>
                <w:szCs w:val="24"/>
              </w:rPr>
              <w:t>Vallavolikogu</w:t>
            </w:r>
          </w:p>
        </w:tc>
      </w:tr>
      <w:tr w:rsidR="0072786B" w:rsidRPr="007A041B" w:rsidTr="008D0291">
        <w:tc>
          <w:tcPr>
            <w:tcW w:w="3085" w:type="dxa"/>
          </w:tcPr>
          <w:p w:rsidR="001B5652" w:rsidRPr="007A041B" w:rsidRDefault="0072786B" w:rsidP="008D0291">
            <w:pPr>
              <w:rPr>
                <w:rFonts w:eastAsiaTheme="minorHAnsi" w:cs="Times New Roman"/>
                <w:b/>
                <w:i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Õigusakti liik:</w:t>
            </w:r>
          </w:p>
        </w:tc>
        <w:tc>
          <w:tcPr>
            <w:tcW w:w="6127" w:type="dxa"/>
          </w:tcPr>
          <w:p w:rsidR="001103D9" w:rsidRPr="007A041B" w:rsidRDefault="008D0291" w:rsidP="008D0291">
            <w:pPr>
              <w:rPr>
                <w:rFonts w:eastAsiaTheme="minorHAnsi" w:cs="Times New Roman"/>
                <w:szCs w:val="24"/>
              </w:rPr>
            </w:pPr>
            <w:r w:rsidRPr="007A041B">
              <w:rPr>
                <w:rFonts w:eastAsiaTheme="minorHAnsi" w:cs="Times New Roman"/>
                <w:szCs w:val="24"/>
              </w:rPr>
              <w:t>Määrus</w:t>
            </w: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Õigusakti pealkiri:</w:t>
            </w:r>
          </w:p>
        </w:tc>
        <w:tc>
          <w:tcPr>
            <w:tcW w:w="6127" w:type="dxa"/>
          </w:tcPr>
          <w:p w:rsidR="001103D9" w:rsidRPr="007A041B" w:rsidRDefault="00580F59" w:rsidP="00580F59">
            <w:pPr>
              <w:rPr>
                <w:rFonts w:eastAsiaTheme="minorHAnsi" w:cs="Times New Roman"/>
                <w:szCs w:val="24"/>
              </w:rPr>
            </w:pPr>
            <w:r w:rsidRPr="00624EB2">
              <w:rPr>
                <w:rFonts w:eastAsia="Calibri"/>
              </w:rPr>
              <w:t>Märjamaa valla 201</w:t>
            </w:r>
            <w:r>
              <w:rPr>
                <w:rFonts w:eastAsia="Calibri"/>
              </w:rPr>
              <w:t>8</w:t>
            </w:r>
            <w:r w:rsidRPr="00624EB2">
              <w:rPr>
                <w:rFonts w:eastAsia="Calibri"/>
              </w:rPr>
              <w:t xml:space="preserve">. aasta eelarve </w:t>
            </w: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Õigusakti algataja:</w:t>
            </w:r>
          </w:p>
          <w:p w:rsidR="001B5652" w:rsidRPr="007A041B" w:rsidRDefault="001B5652" w:rsidP="008D0291">
            <w:pPr>
              <w:jc w:val="left"/>
              <w:rPr>
                <w:rFonts w:eastAsiaTheme="minorHAnsi" w:cs="Times New Roman"/>
                <w:i/>
                <w:szCs w:val="24"/>
              </w:rPr>
            </w:pPr>
          </w:p>
        </w:tc>
        <w:tc>
          <w:tcPr>
            <w:tcW w:w="6127" w:type="dxa"/>
          </w:tcPr>
          <w:p w:rsidR="00580F59" w:rsidRPr="00624EB2" w:rsidRDefault="00580F59" w:rsidP="00580F59">
            <w:pPr>
              <w:rPr>
                <w:rFonts w:eastAsia="Calibri"/>
              </w:rPr>
            </w:pPr>
            <w:r w:rsidRPr="00624EB2">
              <w:rPr>
                <w:rFonts w:eastAsia="Calibri"/>
              </w:rPr>
              <w:t>Märjamaa Vallavalitsus</w:t>
            </w:r>
          </w:p>
          <w:p w:rsidR="001103D9" w:rsidRPr="007A041B" w:rsidRDefault="001103D9" w:rsidP="00A3430A">
            <w:pPr>
              <w:rPr>
                <w:rFonts w:eastAsiaTheme="minorHAnsi" w:cs="Times New Roman"/>
                <w:szCs w:val="24"/>
              </w:rPr>
            </w:pP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8D0291">
            <w:pPr>
              <w:jc w:val="left"/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Eelnõu ja seletuskirja koostaja(d):</w:t>
            </w:r>
          </w:p>
        </w:tc>
        <w:tc>
          <w:tcPr>
            <w:tcW w:w="6127" w:type="dxa"/>
          </w:tcPr>
          <w:p w:rsidR="00580F59" w:rsidRPr="00624EB2" w:rsidRDefault="00580F59" w:rsidP="00580F59">
            <w:pPr>
              <w:rPr>
                <w:rFonts w:eastAsia="Calibri"/>
              </w:rPr>
            </w:pPr>
            <w:r w:rsidRPr="00624EB2">
              <w:rPr>
                <w:rFonts w:eastAsia="Calibri"/>
              </w:rPr>
              <w:t>Rahandusosakonna juhataja Lea Laurits</w:t>
            </w:r>
            <w:r>
              <w:rPr>
                <w:rFonts w:eastAsia="Calibri"/>
              </w:rPr>
              <w:t>, abivallavanem-arendusspetsialist Priit Kärsna</w:t>
            </w:r>
          </w:p>
          <w:p w:rsidR="001103D9" w:rsidRPr="007A041B" w:rsidRDefault="001103D9" w:rsidP="00A3430A">
            <w:pPr>
              <w:rPr>
                <w:rFonts w:eastAsiaTheme="minorHAnsi" w:cs="Times New Roman"/>
                <w:szCs w:val="24"/>
              </w:rPr>
            </w:pP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1103D9" w:rsidP="00265392">
            <w:pPr>
              <w:jc w:val="left"/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Komisjonid</w:t>
            </w:r>
            <w:r w:rsidR="00265392" w:rsidRPr="007A041B">
              <w:rPr>
                <w:rFonts w:eastAsiaTheme="minorHAnsi" w:cs="Times New Roman"/>
                <w:b/>
                <w:szCs w:val="24"/>
              </w:rPr>
              <w:t xml:space="preserve"> (s.h osavallakogu), k</w:t>
            </w:r>
            <w:r w:rsidRPr="007A041B">
              <w:rPr>
                <w:rFonts w:eastAsiaTheme="minorHAnsi" w:cs="Times New Roman"/>
                <w:b/>
                <w:szCs w:val="24"/>
              </w:rPr>
              <w:t>e</w:t>
            </w:r>
            <w:r w:rsidR="001F5892" w:rsidRPr="007A041B">
              <w:rPr>
                <w:rFonts w:eastAsiaTheme="minorHAnsi" w:cs="Times New Roman"/>
                <w:b/>
                <w:szCs w:val="24"/>
              </w:rPr>
              <w:t>llele</w:t>
            </w:r>
            <w:r w:rsidRPr="007A041B">
              <w:rPr>
                <w:rFonts w:eastAsiaTheme="minorHAnsi" w:cs="Times New Roman"/>
                <w:b/>
                <w:szCs w:val="24"/>
              </w:rPr>
              <w:t xml:space="preserve"> </w:t>
            </w:r>
            <w:r w:rsidR="001F5892" w:rsidRPr="007A041B">
              <w:rPr>
                <w:rFonts w:eastAsiaTheme="minorHAnsi" w:cs="Times New Roman"/>
                <w:b/>
                <w:szCs w:val="24"/>
              </w:rPr>
              <w:t>eelnõu suunata arutamiseks:</w:t>
            </w:r>
            <w:r w:rsidRPr="007A041B">
              <w:rPr>
                <w:rFonts w:eastAsiaTheme="minorHAnsi" w:cs="Times New Roman"/>
                <w:b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580F59" w:rsidRPr="00624EB2" w:rsidRDefault="00580F59" w:rsidP="00580F59">
            <w:pPr>
              <w:rPr>
                <w:rFonts w:eastAsia="Calibri"/>
              </w:rPr>
            </w:pPr>
            <w:r w:rsidRPr="00624EB2">
              <w:rPr>
                <w:rFonts w:eastAsia="Calibri"/>
              </w:rPr>
              <w:t>Majandus- ja eelarvekomisjon</w:t>
            </w:r>
            <w:r>
              <w:rPr>
                <w:rFonts w:eastAsia="Calibri"/>
              </w:rPr>
              <w:t xml:space="preserve">, hariduskomisjon, kultuurikomisjon, sotsiaalkomisjon ja </w:t>
            </w:r>
            <w:r w:rsidR="00B14959">
              <w:rPr>
                <w:rFonts w:eastAsia="Calibri"/>
              </w:rPr>
              <w:t xml:space="preserve">Vigala </w:t>
            </w:r>
            <w:r>
              <w:rPr>
                <w:rFonts w:eastAsia="Calibri"/>
              </w:rPr>
              <w:t>osavallakogu.</w:t>
            </w:r>
          </w:p>
          <w:p w:rsidR="0072786B" w:rsidRPr="007A041B" w:rsidRDefault="0072786B" w:rsidP="00A3430A">
            <w:pPr>
              <w:rPr>
                <w:rFonts w:eastAsiaTheme="minorHAnsi" w:cs="Times New Roman"/>
                <w:szCs w:val="24"/>
              </w:rPr>
            </w:pPr>
          </w:p>
          <w:p w:rsidR="001103D9" w:rsidRPr="007A041B" w:rsidRDefault="001103D9" w:rsidP="00A3430A">
            <w:pPr>
              <w:rPr>
                <w:rFonts w:eastAsiaTheme="minorHAnsi" w:cs="Times New Roman"/>
                <w:szCs w:val="24"/>
              </w:rPr>
            </w:pPr>
          </w:p>
        </w:tc>
      </w:tr>
      <w:tr w:rsidR="00265392" w:rsidRPr="007A041B" w:rsidTr="008D0291">
        <w:tc>
          <w:tcPr>
            <w:tcW w:w="3085" w:type="dxa"/>
          </w:tcPr>
          <w:p w:rsidR="00265392" w:rsidRPr="007A041B" w:rsidRDefault="00265392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Huvirühmade kaasamine ja avalik konsultatsioon:</w:t>
            </w:r>
          </w:p>
          <w:p w:rsidR="001B5652" w:rsidRPr="007A041B" w:rsidRDefault="001B5652" w:rsidP="00A3430A">
            <w:pPr>
              <w:rPr>
                <w:rFonts w:eastAsiaTheme="minorHAnsi" w:cs="Times New Roman"/>
                <w:i/>
                <w:szCs w:val="24"/>
              </w:rPr>
            </w:pPr>
          </w:p>
        </w:tc>
        <w:tc>
          <w:tcPr>
            <w:tcW w:w="6127" w:type="dxa"/>
          </w:tcPr>
          <w:p w:rsidR="00265392" w:rsidRPr="007A041B" w:rsidRDefault="00580F59" w:rsidP="00A3430A">
            <w:pPr>
              <w:rPr>
                <w:rFonts w:eastAsiaTheme="minorHAnsi" w:cs="Times New Roman"/>
                <w:szCs w:val="24"/>
              </w:rPr>
            </w:pPr>
            <w:r>
              <w:rPr>
                <w:rFonts w:eastAsiaTheme="minorHAnsi" w:cs="Times New Roman"/>
                <w:szCs w:val="24"/>
              </w:rPr>
              <w:t>-</w:t>
            </w: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Eelnõu ettekandja istungil:</w:t>
            </w:r>
          </w:p>
        </w:tc>
        <w:tc>
          <w:tcPr>
            <w:tcW w:w="6127" w:type="dxa"/>
          </w:tcPr>
          <w:p w:rsidR="0072786B" w:rsidRPr="007A041B" w:rsidRDefault="00580F59" w:rsidP="00A3430A">
            <w:pPr>
              <w:rPr>
                <w:rFonts w:eastAsiaTheme="minorHAnsi" w:cs="Times New Roman"/>
                <w:szCs w:val="24"/>
              </w:rPr>
            </w:pPr>
            <w:r>
              <w:rPr>
                <w:rFonts w:eastAsiaTheme="minorHAnsi" w:cs="Times New Roman"/>
                <w:szCs w:val="24"/>
              </w:rPr>
              <w:t>Rahandusosakonna juhataja Lea Laurits, kaasettekandja</w:t>
            </w:r>
          </w:p>
          <w:p w:rsidR="00580F59" w:rsidRPr="00624EB2" w:rsidRDefault="00580F59" w:rsidP="00580F59">
            <w:pPr>
              <w:rPr>
                <w:rFonts w:eastAsia="Calibri"/>
              </w:rPr>
            </w:pPr>
            <w:r>
              <w:rPr>
                <w:rFonts w:eastAsia="Calibri"/>
              </w:rPr>
              <w:t>abivallavanem-arendusspetsialist Priit Kärsna</w:t>
            </w:r>
          </w:p>
          <w:p w:rsidR="001F5892" w:rsidRPr="007A041B" w:rsidRDefault="001F5892" w:rsidP="00A3430A">
            <w:pPr>
              <w:rPr>
                <w:rFonts w:eastAsiaTheme="minorHAnsi" w:cs="Times New Roman"/>
                <w:szCs w:val="24"/>
              </w:rPr>
            </w:pP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580F59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Õigusakti vastuvõtmiseks vajalik häälteenamus:</w:t>
            </w:r>
            <w:r w:rsidR="001B5652" w:rsidRPr="007A041B">
              <w:rPr>
                <w:rFonts w:eastAsiaTheme="minorHAnsi" w:cs="Times New Roman"/>
                <w:b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72786B" w:rsidRPr="007A041B" w:rsidRDefault="00580F59" w:rsidP="00A3430A">
            <w:pPr>
              <w:rPr>
                <w:rFonts w:eastAsiaTheme="minorHAnsi" w:cs="Times New Roman"/>
                <w:szCs w:val="24"/>
              </w:rPr>
            </w:pPr>
            <w:r w:rsidRPr="00624EB2">
              <w:rPr>
                <w:rFonts w:eastAsia="Calibri"/>
              </w:rPr>
              <w:t>Poolthäälteenamus</w:t>
            </w:r>
          </w:p>
        </w:tc>
      </w:tr>
      <w:tr w:rsidR="00933AC5" w:rsidRPr="007A041B" w:rsidTr="008D0291">
        <w:tc>
          <w:tcPr>
            <w:tcW w:w="3085" w:type="dxa"/>
          </w:tcPr>
          <w:p w:rsidR="00933AC5" w:rsidRPr="007A041B" w:rsidRDefault="00933AC5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Isikud, keda kutsuda eelnõu menetluse ajaks volikogu istungile:</w:t>
            </w:r>
          </w:p>
          <w:p w:rsidR="00933AC5" w:rsidRPr="007A041B" w:rsidRDefault="00933AC5" w:rsidP="00A3430A">
            <w:pPr>
              <w:rPr>
                <w:rFonts w:eastAsiaTheme="minorHAnsi" w:cs="Times New Roman"/>
                <w:b/>
                <w:szCs w:val="24"/>
              </w:rPr>
            </w:pPr>
          </w:p>
        </w:tc>
        <w:tc>
          <w:tcPr>
            <w:tcW w:w="6127" w:type="dxa"/>
          </w:tcPr>
          <w:p w:rsidR="00933AC5" w:rsidRPr="007A041B" w:rsidRDefault="00B14959" w:rsidP="00B14959">
            <w:pPr>
              <w:rPr>
                <w:rFonts w:eastAsiaTheme="minorHAnsi" w:cs="Times New Roman"/>
                <w:szCs w:val="24"/>
              </w:rPr>
            </w:pPr>
            <w:r>
              <w:rPr>
                <w:rFonts w:eastAsiaTheme="minorHAnsi" w:cs="Times New Roman"/>
                <w:szCs w:val="24"/>
              </w:rPr>
              <w:t>Vallavanem ja v</w:t>
            </w:r>
            <w:r w:rsidR="00B75AAD">
              <w:rPr>
                <w:rFonts w:eastAsiaTheme="minorHAnsi" w:cs="Times New Roman"/>
                <w:szCs w:val="24"/>
              </w:rPr>
              <w:t>aldkondade eest vastutavad vallavalitsuse ametnikud</w:t>
            </w:r>
          </w:p>
        </w:tc>
      </w:tr>
      <w:tr w:rsidR="00933AC5" w:rsidRPr="007A041B" w:rsidTr="008D0291">
        <w:tc>
          <w:tcPr>
            <w:tcW w:w="3085" w:type="dxa"/>
          </w:tcPr>
          <w:p w:rsidR="00933AC5" w:rsidRPr="007A041B" w:rsidRDefault="00933AC5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 xml:space="preserve">Isikud, kellele saata õigusakti ärakiri: </w:t>
            </w:r>
          </w:p>
        </w:tc>
        <w:tc>
          <w:tcPr>
            <w:tcW w:w="6127" w:type="dxa"/>
          </w:tcPr>
          <w:p w:rsidR="00933AC5" w:rsidRPr="007A041B" w:rsidRDefault="00B75AAD" w:rsidP="00B75AAD">
            <w:pPr>
              <w:rPr>
                <w:rFonts w:eastAsiaTheme="minorHAnsi" w:cs="Times New Roman"/>
                <w:szCs w:val="24"/>
              </w:rPr>
            </w:pPr>
            <w:r>
              <w:rPr>
                <w:rFonts w:eastAsia="Calibri"/>
              </w:rPr>
              <w:t>Vallavalitsusele, osavallavalitsusele, k</w:t>
            </w:r>
            <w:r w:rsidRPr="00624EB2">
              <w:rPr>
                <w:rFonts w:eastAsia="Calibri"/>
              </w:rPr>
              <w:t xml:space="preserve">õikidele hallatavatele asutuste- ja valdkondade juhtidele </w:t>
            </w:r>
          </w:p>
        </w:tc>
      </w:tr>
    </w:tbl>
    <w:p w:rsidR="0072786B" w:rsidRPr="00315681" w:rsidRDefault="0072786B" w:rsidP="0072786B">
      <w:pPr>
        <w:ind w:left="720"/>
        <w:contextualSpacing/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2786B" w:rsidRPr="00315681" w:rsidTr="00A3430A">
        <w:tc>
          <w:tcPr>
            <w:tcW w:w="9212" w:type="dxa"/>
          </w:tcPr>
          <w:p w:rsidR="008D0291" w:rsidRPr="008D0291" w:rsidRDefault="0072786B" w:rsidP="008D0291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Theme="minorHAnsi" w:cstheme="minorBidi"/>
                <w:i/>
              </w:rPr>
            </w:pPr>
            <w:r w:rsidRPr="00315681">
              <w:rPr>
                <w:rFonts w:eastAsiaTheme="minorHAnsi" w:cstheme="minorBidi"/>
                <w:b/>
              </w:rPr>
              <w:t>Eelnõu õiguslik alus</w:t>
            </w:r>
            <w:r w:rsidR="0025509F">
              <w:rPr>
                <w:rFonts w:eastAsiaTheme="minorHAnsi" w:cstheme="minorBidi"/>
                <w:b/>
              </w:rPr>
              <w:t xml:space="preserve"> </w:t>
            </w:r>
          </w:p>
          <w:p w:rsidR="005E3DB6" w:rsidRPr="002E23D9" w:rsidRDefault="005E3DB6" w:rsidP="005E3DB6">
            <w:pPr>
              <w:suppressAutoHyphens w:val="0"/>
              <w:ind w:left="720"/>
              <w:contextualSpacing/>
              <w:rPr>
                <w:rFonts w:eastAsiaTheme="minorHAnsi" w:cstheme="minorBidi"/>
                <w:i/>
              </w:rPr>
            </w:pPr>
          </w:p>
        </w:tc>
      </w:tr>
      <w:tr w:rsidR="0072786B" w:rsidRPr="00315681" w:rsidTr="00A3430A">
        <w:tc>
          <w:tcPr>
            <w:tcW w:w="9212" w:type="dxa"/>
          </w:tcPr>
          <w:p w:rsidR="00B14959" w:rsidRDefault="00B14959" w:rsidP="009A4A34">
            <w:pPr>
              <w:rPr>
                <w:rFonts w:eastAsia="Calibri"/>
              </w:rPr>
            </w:pPr>
            <w:r>
              <w:rPr>
                <w:rFonts w:eastAsia="Calibri"/>
              </w:rPr>
              <w:t>Märjamaa Vallavalitsus esitab vallavolikogule määruse eelnõu „Märjamaa valla 2018. aasta eelarve“. Valla eelarve kajastab valla prognoositud põhitegevuse tulusid ja kavandatud põhitegevuse kulusid, investeerimistegevust, finantseerimistegevust ning likviidsete varade muutust.</w:t>
            </w:r>
          </w:p>
          <w:p w:rsidR="00B14959" w:rsidRDefault="00B75AAD" w:rsidP="009A4A34">
            <w:pPr>
              <w:rPr>
                <w:rFonts w:eastAsia="Calibri"/>
              </w:rPr>
            </w:pPr>
            <w:r w:rsidRPr="00624EB2">
              <w:rPr>
                <w:rFonts w:eastAsia="Calibri"/>
              </w:rPr>
              <w:t xml:space="preserve">Määruse eelnõu koostamisel on aluseks </w:t>
            </w:r>
            <w:hyperlink r:id="rId7" w:history="1">
              <w:r w:rsidRPr="006445B9">
                <w:rPr>
                  <w:rStyle w:val="Hperlink"/>
                  <w:rFonts w:eastAsia="Calibri"/>
                </w:rPr>
                <w:t xml:space="preserve">kohaliku omavalitsuse korralduse seaduse </w:t>
              </w:r>
              <w:r w:rsidRPr="006445B9">
                <w:rPr>
                  <w:rStyle w:val="Hperlink"/>
                </w:rPr>
                <w:t>§ 22 lõige 1 punktid 1 ja  8,</w:t>
              </w:r>
            </w:hyperlink>
            <w:r w:rsidRPr="00624EB2">
              <w:rPr>
                <w:rFonts w:eastAsia="Calibri"/>
              </w:rPr>
              <w:t xml:space="preserve"> </w:t>
            </w:r>
            <w:hyperlink r:id="rId8" w:history="1">
              <w:r w:rsidRPr="006445B9">
                <w:rPr>
                  <w:rStyle w:val="Hperlink"/>
                  <w:rFonts w:eastAsia="Calibri"/>
                </w:rPr>
                <w:t>kohaliku omavalitsuse üksuse finantsjuhtimise seaduse § 23</w:t>
              </w:r>
            </w:hyperlink>
            <w:r w:rsidRPr="00624EB2">
              <w:rPr>
                <w:rFonts w:eastAsia="Calibri"/>
              </w:rPr>
              <w:t xml:space="preserve"> ja </w:t>
            </w:r>
            <w:hyperlink r:id="rId9" w:history="1">
              <w:r w:rsidRPr="004F64B5">
                <w:rPr>
                  <w:rStyle w:val="Hperlink"/>
                  <w:rFonts w:eastAsia="Calibri"/>
                </w:rPr>
                <w:t>Märjamaa valla eelarve koostamise, vastuvõtmise ja täitmise kord</w:t>
              </w:r>
            </w:hyperlink>
            <w:r w:rsidRPr="00624EB2">
              <w:rPr>
                <w:rFonts w:eastAsia="Calibri"/>
              </w:rPr>
              <w:t xml:space="preserve">. </w:t>
            </w:r>
          </w:p>
          <w:p w:rsidR="009A4A34" w:rsidRPr="006D2AB0" w:rsidRDefault="009A4A34" w:rsidP="009A4A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eastAsia="Calibri"/>
                <w:bCs/>
              </w:rPr>
              <w:t xml:space="preserve">Lisaks on eelnõu koostamisel </w:t>
            </w:r>
            <w:r w:rsidR="00B14959">
              <w:rPr>
                <w:rFonts w:eastAsia="Calibri"/>
                <w:bCs/>
              </w:rPr>
              <w:t xml:space="preserve">lähtutud </w:t>
            </w:r>
            <w:r w:rsidRPr="009A4A34">
              <w:rPr>
                <w:rFonts w:eastAsia="Calibri"/>
                <w:bCs/>
              </w:rPr>
              <w:t>Märjamaa valla põhimäärus</w:t>
            </w:r>
            <w:r w:rsidR="00B14959">
              <w:rPr>
                <w:rFonts w:eastAsia="Calibri"/>
                <w:bCs/>
              </w:rPr>
              <w:t>est</w:t>
            </w:r>
            <w:r w:rsidR="004F64B5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Vigala osavalla põhimäärus</w:t>
            </w:r>
            <w:r w:rsidR="00B14959">
              <w:rPr>
                <w:rFonts w:eastAsia="Calibri"/>
                <w:bCs/>
              </w:rPr>
              <w:t>est</w:t>
            </w:r>
            <w:r>
              <w:rPr>
                <w:rFonts w:eastAsia="Calibri"/>
                <w:bCs/>
              </w:rPr>
              <w:t xml:space="preserve">, </w:t>
            </w:r>
            <w:r w:rsidRPr="006D2AB0">
              <w:rPr>
                <w:rFonts w:cs="Times New Roman"/>
                <w:color w:val="000000"/>
                <w:szCs w:val="24"/>
              </w:rPr>
              <w:t>Märjamaa valla arengukava</w:t>
            </w:r>
            <w:r w:rsidR="00B14959">
              <w:rPr>
                <w:rFonts w:cs="Times New Roman"/>
                <w:color w:val="000000"/>
                <w:szCs w:val="24"/>
              </w:rPr>
              <w:t>st</w:t>
            </w:r>
            <w:r w:rsidRPr="006D2AB0">
              <w:rPr>
                <w:rFonts w:cs="Times New Roman"/>
                <w:color w:val="000000"/>
                <w:szCs w:val="24"/>
              </w:rPr>
              <w:t xml:space="preserve"> 2010-2025 koos 2017. aastal muudetud investeeringute kavaga aastateks 2017-2020</w:t>
            </w:r>
            <w:r>
              <w:rPr>
                <w:rFonts w:cs="Times New Roman"/>
                <w:color w:val="000000"/>
                <w:szCs w:val="24"/>
              </w:rPr>
              <w:t xml:space="preserve">, </w:t>
            </w:r>
            <w:r w:rsidRPr="006D2AB0">
              <w:rPr>
                <w:rFonts w:cs="Times New Roman"/>
                <w:color w:val="000000"/>
                <w:szCs w:val="24"/>
              </w:rPr>
              <w:t>Vigala valla arengukava</w:t>
            </w:r>
            <w:r w:rsidR="00B14959">
              <w:rPr>
                <w:rFonts w:cs="Times New Roman"/>
                <w:color w:val="000000"/>
                <w:szCs w:val="24"/>
              </w:rPr>
              <w:t>st</w:t>
            </w:r>
            <w:r w:rsidRPr="006D2AB0">
              <w:rPr>
                <w:rFonts w:cs="Times New Roman"/>
                <w:color w:val="000000"/>
                <w:szCs w:val="24"/>
              </w:rPr>
              <w:t xml:space="preserve"> 2016-202</w:t>
            </w:r>
            <w:r>
              <w:rPr>
                <w:rFonts w:cs="Times New Roman"/>
                <w:color w:val="000000"/>
                <w:szCs w:val="24"/>
              </w:rPr>
              <w:t xml:space="preserve">3 arenguvisiooniga aastani 2028, </w:t>
            </w:r>
            <w:r w:rsidRPr="006D2AB0">
              <w:rPr>
                <w:rFonts w:cs="Times New Roman"/>
                <w:color w:val="000000"/>
                <w:szCs w:val="24"/>
              </w:rPr>
              <w:t>Märjamaa valla eelarvestrateegia</w:t>
            </w:r>
            <w:r w:rsidR="00B14959">
              <w:rPr>
                <w:rFonts w:cs="Times New Roman"/>
                <w:color w:val="000000"/>
                <w:szCs w:val="24"/>
              </w:rPr>
              <w:t>st</w:t>
            </w:r>
            <w:r w:rsidRPr="006D2AB0">
              <w:rPr>
                <w:rFonts w:cs="Times New Roman"/>
                <w:color w:val="000000"/>
                <w:szCs w:val="24"/>
              </w:rPr>
              <w:t xml:space="preserve"> 2017-2020</w:t>
            </w:r>
            <w:r>
              <w:rPr>
                <w:rFonts w:cs="Times New Roman"/>
                <w:color w:val="000000"/>
                <w:szCs w:val="24"/>
              </w:rPr>
              <w:t xml:space="preserve">, </w:t>
            </w:r>
            <w:r w:rsidRPr="006D2AB0">
              <w:rPr>
                <w:rFonts w:cs="Times New Roman"/>
                <w:color w:val="000000"/>
                <w:szCs w:val="24"/>
              </w:rPr>
              <w:t>Vigala va</w:t>
            </w:r>
            <w:r>
              <w:rPr>
                <w:rFonts w:cs="Times New Roman"/>
                <w:color w:val="000000"/>
                <w:szCs w:val="24"/>
              </w:rPr>
              <w:t>lla eelarvestrateegia</w:t>
            </w:r>
            <w:r w:rsidR="00B14959">
              <w:rPr>
                <w:rFonts w:cs="Times New Roman"/>
                <w:color w:val="000000"/>
                <w:szCs w:val="24"/>
              </w:rPr>
              <w:t>st</w:t>
            </w:r>
            <w:r>
              <w:rPr>
                <w:rFonts w:cs="Times New Roman"/>
                <w:color w:val="000000"/>
                <w:szCs w:val="24"/>
              </w:rPr>
              <w:t xml:space="preserve"> 2016-2020, </w:t>
            </w:r>
            <w:r w:rsidRPr="006D2AB0">
              <w:rPr>
                <w:rFonts w:cs="Times New Roman"/>
                <w:color w:val="000000"/>
                <w:szCs w:val="24"/>
              </w:rPr>
              <w:t xml:space="preserve">Märjamaa valla </w:t>
            </w:r>
            <w:r w:rsidR="004F64B5">
              <w:rPr>
                <w:rFonts w:cs="Times New Roman"/>
                <w:color w:val="000000"/>
                <w:szCs w:val="24"/>
              </w:rPr>
              <w:t xml:space="preserve">ja Vigala valla ühinemislepingust ning </w:t>
            </w:r>
            <w:r w:rsidRPr="006D2AB0">
              <w:rPr>
                <w:rFonts w:cs="Times New Roman"/>
                <w:color w:val="000000"/>
                <w:szCs w:val="24"/>
              </w:rPr>
              <w:t>Rahandu</w:t>
            </w:r>
            <w:r w:rsidR="004F64B5">
              <w:rPr>
                <w:rFonts w:cs="Times New Roman"/>
                <w:color w:val="000000"/>
                <w:szCs w:val="24"/>
              </w:rPr>
              <w:t>sministeeriumi 2017. aasta septembris avaldatud majandusprognoosist.</w:t>
            </w:r>
            <w:r w:rsidRPr="006D2AB0">
              <w:rPr>
                <w:rFonts w:cs="Times New Roman"/>
                <w:color w:val="000000"/>
                <w:szCs w:val="24"/>
              </w:rPr>
              <w:t xml:space="preserve">   </w:t>
            </w:r>
          </w:p>
          <w:p w:rsidR="00BA04F7" w:rsidRPr="00315681" w:rsidRDefault="00BA04F7" w:rsidP="00A3430A">
            <w:pPr>
              <w:rPr>
                <w:rFonts w:eastAsiaTheme="minorHAnsi" w:cstheme="minorBidi"/>
              </w:rPr>
            </w:pPr>
          </w:p>
        </w:tc>
      </w:tr>
    </w:tbl>
    <w:p w:rsidR="0072786B" w:rsidRPr="00315681" w:rsidRDefault="0072786B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2786B" w:rsidRPr="00315681" w:rsidTr="00A3430A">
        <w:tc>
          <w:tcPr>
            <w:tcW w:w="9212" w:type="dxa"/>
          </w:tcPr>
          <w:p w:rsidR="0072786B" w:rsidRPr="00315681" w:rsidRDefault="0025509F" w:rsidP="00CE4747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Eelnõu </w:t>
            </w:r>
            <w:r w:rsidR="00B67E65">
              <w:rPr>
                <w:rFonts w:eastAsiaTheme="minorHAnsi" w:cstheme="minorBidi"/>
                <w:b/>
              </w:rPr>
              <w:t xml:space="preserve">vastuvõtmise vajalikkuse põhjendus </w:t>
            </w:r>
          </w:p>
        </w:tc>
      </w:tr>
      <w:tr w:rsidR="0072786B" w:rsidRPr="00315681" w:rsidTr="00A3430A">
        <w:tc>
          <w:tcPr>
            <w:tcW w:w="9212" w:type="dxa"/>
          </w:tcPr>
          <w:p w:rsidR="00CE4747" w:rsidRPr="00CE4747" w:rsidRDefault="00CE4747" w:rsidP="00CE4747">
            <w:pPr>
              <w:rPr>
                <w:rFonts w:eastAsiaTheme="minorHAnsi" w:cs="Times New Roman"/>
                <w:szCs w:val="24"/>
              </w:rPr>
            </w:pPr>
            <w:r w:rsidRPr="00CE4747">
              <w:rPr>
                <w:rFonts w:cs="Times New Roman"/>
                <w:color w:val="202020"/>
                <w:szCs w:val="24"/>
                <w:shd w:val="clear" w:color="auto" w:fill="FFFFFF"/>
              </w:rPr>
              <w:t>Kohaliku omavalitsuse üksuse finantsjuhtimise seadus sätestab kohaliku omavalitsuse üksuse eelarve koostamise, vastuvõtmise, täitmise ja aruandluse põhimõtted, kohaliku omavalitsuse</w:t>
            </w:r>
            <w:r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 </w:t>
            </w:r>
            <w:r w:rsidRPr="00CE4747">
              <w:rPr>
                <w:rFonts w:cs="Times New Roman"/>
                <w:color w:val="202020"/>
                <w:szCs w:val="24"/>
                <w:shd w:val="clear" w:color="auto" w:fill="FFFFFF"/>
              </w:rPr>
              <w:t>üksuse arvestusüksuse finantsdistsipliini tagamise meetmed, finantsdistsipliini tagamise meetmete rakendamise menetluse põhimõtted ning raske finantsolukorra ohu kõrvaldamise menetluse põhimõtted.</w:t>
            </w:r>
            <w:r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 </w:t>
            </w:r>
            <w:r w:rsidR="00F87BB0"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Nimetatud seadusest tulenevalt koostab eelarve eelnõu vallavalitsus ning lähtudes kohaliku omavalitsuse korralduse </w:t>
            </w:r>
            <w:r w:rsidR="00F87BB0">
              <w:rPr>
                <w:rFonts w:cs="Times New Roman"/>
                <w:color w:val="202020"/>
                <w:szCs w:val="24"/>
                <w:shd w:val="clear" w:color="auto" w:fill="FFFFFF"/>
              </w:rPr>
              <w:lastRenderedPageBreak/>
              <w:t xml:space="preserve">seadusest kuulub eelarve vastuvõtmine volikogu ainupädevusse. Eelarve jõustub eelarveaasta algusest. </w:t>
            </w:r>
          </w:p>
          <w:p w:rsidR="00B67E65" w:rsidRPr="00315681" w:rsidRDefault="00B67E65" w:rsidP="00CE4747">
            <w:pPr>
              <w:rPr>
                <w:rFonts w:eastAsiaTheme="minorHAnsi" w:cstheme="minorBidi"/>
              </w:rPr>
            </w:pPr>
          </w:p>
        </w:tc>
      </w:tr>
    </w:tbl>
    <w:p w:rsidR="0072786B" w:rsidRDefault="0072786B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B67E65" w:rsidRPr="00315681" w:rsidTr="00A3430A">
        <w:tc>
          <w:tcPr>
            <w:tcW w:w="9212" w:type="dxa"/>
          </w:tcPr>
          <w:p w:rsidR="00265392" w:rsidRDefault="00540263" w:rsidP="00A3430A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Õigusaktid, mis</w:t>
            </w:r>
            <w:r w:rsidR="00265392">
              <w:rPr>
                <w:rFonts w:eastAsiaTheme="minorHAnsi" w:cstheme="minorBidi"/>
                <w:b/>
              </w:rPr>
              <w:t xml:space="preserve"> </w:t>
            </w:r>
            <w:r w:rsidR="003E5877">
              <w:rPr>
                <w:rFonts w:eastAsiaTheme="minorHAnsi" w:cstheme="minorBidi"/>
                <w:b/>
              </w:rPr>
              <w:t>reguleerivad küsimus</w:t>
            </w:r>
            <w:r w:rsidR="0025509F">
              <w:rPr>
                <w:rFonts w:eastAsiaTheme="minorHAnsi" w:cstheme="minorBidi"/>
                <w:b/>
              </w:rPr>
              <w:t>t</w:t>
            </w:r>
            <w:r w:rsidR="003E5877">
              <w:rPr>
                <w:rFonts w:eastAsiaTheme="minorHAnsi" w:cstheme="minorBidi"/>
                <w:b/>
              </w:rPr>
              <w:t xml:space="preserve"> käesoleval ajal</w:t>
            </w:r>
          </w:p>
          <w:p w:rsidR="00B67E65" w:rsidRPr="00315681" w:rsidRDefault="00B67E65" w:rsidP="00265392">
            <w:pPr>
              <w:suppressAutoHyphens w:val="0"/>
              <w:ind w:left="720"/>
              <w:contextualSpacing/>
              <w:rPr>
                <w:rFonts w:eastAsiaTheme="minorHAnsi" w:cstheme="minorBidi"/>
                <w:b/>
              </w:rPr>
            </w:pPr>
          </w:p>
        </w:tc>
      </w:tr>
      <w:tr w:rsidR="00B67E65" w:rsidRPr="00315681" w:rsidTr="00A3430A">
        <w:tc>
          <w:tcPr>
            <w:tcW w:w="9212" w:type="dxa"/>
          </w:tcPr>
          <w:p w:rsidR="00F87BB0" w:rsidRDefault="00F87BB0" w:rsidP="00F87BB0">
            <w:pPr>
              <w:rPr>
                <w:rFonts w:eastAsia="Calibri"/>
              </w:rPr>
            </w:pPr>
            <w:r>
              <w:rPr>
                <w:rFonts w:eastAsia="Calibri"/>
              </w:rPr>
              <w:t>Käesoleval ajal reguleerivad eelarve koostamist ja vastuvõtmist</w:t>
            </w:r>
            <w:r w:rsidRPr="00624EB2">
              <w:rPr>
                <w:rFonts w:eastAsia="Calibri"/>
              </w:rPr>
              <w:t xml:space="preserve"> </w:t>
            </w:r>
            <w:hyperlink r:id="rId10" w:history="1">
              <w:r w:rsidR="00FD4700" w:rsidRPr="006445B9">
                <w:rPr>
                  <w:rStyle w:val="Hperlink"/>
                  <w:rFonts w:eastAsia="Calibri"/>
                </w:rPr>
                <w:t>kohaliku omavalitsuse üksuse finantsjuhtimise seadus</w:t>
              </w:r>
            </w:hyperlink>
            <w:r w:rsidR="00FD4700" w:rsidRPr="00CE4747">
              <w:rPr>
                <w:rFonts w:cs="Times New Roman"/>
                <w:color w:val="202020"/>
                <w:szCs w:val="24"/>
                <w:shd w:val="clear" w:color="auto" w:fill="FFFFFF"/>
              </w:rPr>
              <w:t>,</w:t>
            </w:r>
            <w:r w:rsidR="00FD4700"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6445B9">
                <w:rPr>
                  <w:rStyle w:val="Hperlink"/>
                  <w:rFonts w:eastAsia="Calibri"/>
                </w:rPr>
                <w:t>kohaliku omavalitsuse korralduse seadus</w:t>
              </w:r>
              <w:r w:rsidRPr="006445B9">
                <w:rPr>
                  <w:rStyle w:val="Hperlink"/>
                </w:rPr>
                <w:t>,</w:t>
              </w:r>
            </w:hyperlink>
            <w:r w:rsidRPr="00624EB2">
              <w:rPr>
                <w:rFonts w:eastAsia="Calibri"/>
              </w:rPr>
              <w:t xml:space="preserve"> ja </w:t>
            </w:r>
            <w:hyperlink r:id="rId12" w:history="1">
              <w:r w:rsidRPr="004F64B5">
                <w:rPr>
                  <w:rStyle w:val="Hperlink"/>
                  <w:rFonts w:eastAsia="Calibri"/>
                </w:rPr>
                <w:t>Märjamaa valla eelarve koostamise, vastuvõtmise ja täitmise kord</w:t>
              </w:r>
            </w:hyperlink>
            <w:r w:rsidRPr="00624EB2">
              <w:rPr>
                <w:rFonts w:eastAsia="Calibri"/>
              </w:rPr>
              <w:t xml:space="preserve">. </w:t>
            </w:r>
          </w:p>
          <w:p w:rsidR="00B67E65" w:rsidRDefault="00B67E65" w:rsidP="00A3430A">
            <w:pPr>
              <w:rPr>
                <w:rFonts w:eastAsiaTheme="minorHAnsi" w:cstheme="minorBidi"/>
              </w:rPr>
            </w:pPr>
          </w:p>
          <w:p w:rsidR="00B67E65" w:rsidRPr="00315681" w:rsidRDefault="00B67E65" w:rsidP="00A3430A">
            <w:pPr>
              <w:rPr>
                <w:rFonts w:eastAsiaTheme="minorHAnsi" w:cstheme="minorBidi"/>
              </w:rPr>
            </w:pPr>
          </w:p>
        </w:tc>
      </w:tr>
    </w:tbl>
    <w:p w:rsidR="00B67E65" w:rsidRDefault="00B67E65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C1901" w:rsidRPr="00315681" w:rsidTr="00CE7968">
        <w:tc>
          <w:tcPr>
            <w:tcW w:w="9212" w:type="dxa"/>
          </w:tcPr>
          <w:p w:rsidR="007C1901" w:rsidRPr="00315681" w:rsidRDefault="007C1901" w:rsidP="00265B45">
            <w:pPr>
              <w:pStyle w:val="Loendilik"/>
              <w:numPr>
                <w:ilvl w:val="0"/>
                <w:numId w:val="1"/>
              </w:numPr>
              <w:suppressAutoHyphens w:val="0"/>
              <w:rPr>
                <w:rFonts w:eastAsiaTheme="minorHAnsi" w:cstheme="minorBidi"/>
                <w:b/>
              </w:rPr>
            </w:pPr>
            <w:r w:rsidRPr="00540263">
              <w:rPr>
                <w:rFonts w:eastAsiaTheme="minorHAnsi" w:cstheme="minorBidi"/>
                <w:b/>
              </w:rPr>
              <w:t xml:space="preserve">Eelnõu sisu ja võrdlev analüüs </w:t>
            </w:r>
          </w:p>
        </w:tc>
      </w:tr>
      <w:tr w:rsidR="007C1901" w:rsidRPr="00315681" w:rsidTr="00CE7968">
        <w:tc>
          <w:tcPr>
            <w:tcW w:w="9212" w:type="dxa"/>
          </w:tcPr>
          <w:p w:rsidR="007C1901" w:rsidRDefault="00FD4700" w:rsidP="001E1AA1">
            <w:pPr>
              <w:rPr>
                <w:rFonts w:cs="Times New Roman"/>
                <w:bCs/>
              </w:rPr>
            </w:pPr>
            <w:r>
              <w:rPr>
                <w:rFonts w:eastAsiaTheme="minorHAnsi" w:cstheme="minorBidi"/>
              </w:rPr>
              <w:t>Märjamaa valla 2018. aasta eelarve on koostatud Märjamaa valla ja Vigala valla  ü</w:t>
            </w:r>
            <w:r>
              <w:rPr>
                <w:rFonts w:cs="Times New Roman"/>
                <w:szCs w:val="24"/>
              </w:rPr>
              <w:t xml:space="preserve">hinemislepingus püstitatud eesmärkide ellu viimiseks, milleks on terviklik ja hästi toimiv, sotsiaalselt, majanduslikult, kultuuriliselt ja territoriaalselt sidus piirkond. </w:t>
            </w:r>
          </w:p>
          <w:p w:rsidR="00567434" w:rsidRDefault="00567434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 xml:space="preserve">Eelarve kogumahuks on kavandatud 13 874 110 eurot ja investeeringute katteks on </w:t>
            </w:r>
          </w:p>
          <w:p w:rsidR="00567434" w:rsidRDefault="00567434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>planeeritud võtta pikaajalist laenu 3 051 670 eurot.</w:t>
            </w: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 xml:space="preserve">Lühiülevaate planeeritud </w:t>
            </w:r>
            <w:r w:rsidR="00A4308E">
              <w:rPr>
                <w:rFonts w:ascii="Times New Roman" w:hAnsi="Times New Roman" w:cs="Times New Roman"/>
                <w:bCs/>
                <w:lang w:val="et-EE"/>
              </w:rPr>
              <w:t>eelarvest nõutud detailsuses annab allpool esitatud koondeelarve.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</w:p>
          <w:p w:rsidR="001E1AA1" w:rsidRDefault="001E1AA1" w:rsidP="001E1AA1">
            <w:pPr>
              <w:suppressAutoHyphens w:val="0"/>
              <w:rPr>
                <w:rFonts w:eastAsia="Times New Roman" w:cs="Times New Roman"/>
                <w:sz w:val="20"/>
                <w:lang w:eastAsia="et-EE"/>
              </w:rPr>
            </w:pPr>
          </w:p>
          <w:tbl>
            <w:tblPr>
              <w:tblW w:w="8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1"/>
              <w:gridCol w:w="977"/>
              <w:gridCol w:w="1049"/>
              <w:gridCol w:w="992"/>
              <w:gridCol w:w="1276"/>
              <w:gridCol w:w="992"/>
            </w:tblGrid>
            <w:tr w:rsidR="001E1AA1" w:rsidRPr="001E1AA1" w:rsidTr="001E1AA1">
              <w:trPr>
                <w:trHeight w:val="480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Kirje nimetus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Täitmine 2016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 xml:space="preserve">Eelarve 2017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 xml:space="preserve">Eelarve 2018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Muutused 2018/2017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Muutused 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 xml:space="preserve">PÕHITEGEVUSE TULUD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9 105 791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9 154 632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9 351 000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196 368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2,1%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Maksutulud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5 023 972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5 222 315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5 583 079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360 764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6,9%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Tulud kaupade ja teenuste müügist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917 522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849 253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681 932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-167 321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-19,7%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 xml:space="preserve">Saadavad toetused tegevuskuludeks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3 066 977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3 016 364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3 004 889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-11 475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-0,4%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Muud tegevustulud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97 320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66 700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81 100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14 400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21,6%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 xml:space="preserve">PÕHITEGEVUSE KULUD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8 285 192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8 663 749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8 667 000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3 251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0,0%</w:t>
                  </w:r>
                </w:p>
              </w:tc>
            </w:tr>
            <w:tr w:rsidR="001E1AA1" w:rsidRPr="001E1AA1" w:rsidTr="001E1AA1">
              <w:trPr>
                <w:trHeight w:val="48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Antavad toetused tegevuskuludeks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555 075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573 800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597 716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23 916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4,2%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Muud tegevuskulud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7 730 117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8 089 949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8 069 284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-20 665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-0,3%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PÕHITEGEVUSE TULEM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820 599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490 883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684 000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193 117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39,3%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INVESTEERIMISTEGEVUS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-535 096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-2 110 772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-3 302 532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-1 191 760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56,5%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Põhivara müük (+)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23 012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20 000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200,0%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Põhivara soetus (-)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-907 348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-2 599 821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-4 613 262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-2 013 441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77,4%</w:t>
                  </w:r>
                </w:p>
              </w:tc>
            </w:tr>
            <w:tr w:rsidR="001E1AA1" w:rsidRPr="001E1AA1" w:rsidTr="001E1AA1">
              <w:trPr>
                <w:trHeight w:val="48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Põhivara soetuseks saadav sihtfinantseerimine (+)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367 944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545 384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1 327 592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782 208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143,4%</w:t>
                  </w:r>
                </w:p>
              </w:tc>
            </w:tr>
            <w:tr w:rsidR="001E1AA1" w:rsidRPr="001E1AA1" w:rsidTr="001E1AA1">
              <w:trPr>
                <w:trHeight w:val="48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Põhivara soetuseks antav sihtfinantseerimine (-)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-85 380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-41 288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26 288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-63,7%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Osaluste müük (+)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87 000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Finantstulud (+)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0,0%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Finantskulud (-)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-20 405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-25 096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-31 911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-6 815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27,2%</w:t>
                  </w:r>
                </w:p>
              </w:tc>
            </w:tr>
            <w:tr w:rsidR="001E1AA1" w:rsidRPr="001E1AA1" w:rsidTr="001E1AA1">
              <w:trPr>
                <w:trHeight w:val="48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EELARVE TULEM (ÜLEJÄÄK (+)/PUUDUJÄÄK (-))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285 503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-1 619 889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-2 618 532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-998 643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61,6%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FINANTSEERIMISTEGEVUS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-60 043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1 003 889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2 504 733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1 500 844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149,5%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Kohustuste võtmine (+)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1 018 000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1 580 650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3 051 670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1 471 020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93,1%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Kohustuste tasumine (-)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-1 078 043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-576 761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-546 937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29 824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-5,2%</w:t>
                  </w:r>
                </w:p>
              </w:tc>
            </w:tr>
            <w:tr w:rsidR="001E1AA1" w:rsidRPr="001E1AA1" w:rsidTr="001E1AA1">
              <w:trPr>
                <w:trHeight w:val="240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LIKVIIDSETE VARADE MUUTUS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225 460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-616 000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-113 799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502 201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1E1AA1" w:rsidRPr="001E1AA1" w:rsidRDefault="001E1AA1" w:rsidP="001E1AA1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1E1AA1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-81,5%</w:t>
                  </w:r>
                </w:p>
              </w:tc>
            </w:tr>
          </w:tbl>
          <w:p w:rsidR="001E1AA1" w:rsidRDefault="001E1AA1" w:rsidP="001E1AA1">
            <w:pPr>
              <w:suppressAutoHyphens w:val="0"/>
              <w:rPr>
                <w:rFonts w:eastAsia="Times New Roman" w:cs="Times New Roman"/>
                <w:sz w:val="20"/>
                <w:lang w:eastAsia="et-EE"/>
              </w:rPr>
            </w:pP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1E1AA1" w:rsidRPr="0098284B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:rsidR="007C1901" w:rsidRDefault="007C1901" w:rsidP="0072786B">
      <w:pPr>
        <w:rPr>
          <w:rFonts w:eastAsiaTheme="minorHAnsi" w:cstheme="minorBidi"/>
        </w:rPr>
      </w:pPr>
    </w:p>
    <w:p w:rsidR="007C1901" w:rsidRDefault="007C1901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65392" w:rsidRPr="00315681" w:rsidTr="00CE7968">
        <w:tc>
          <w:tcPr>
            <w:tcW w:w="9212" w:type="dxa"/>
          </w:tcPr>
          <w:p w:rsidR="00265392" w:rsidRPr="00540263" w:rsidRDefault="00265392" w:rsidP="00540263">
            <w:pPr>
              <w:pStyle w:val="Loendilik"/>
              <w:numPr>
                <w:ilvl w:val="0"/>
                <w:numId w:val="1"/>
              </w:numPr>
              <w:suppressAutoHyphens w:val="0"/>
              <w:rPr>
                <w:rFonts w:eastAsiaTheme="minorHAnsi" w:cstheme="minorBidi"/>
                <w:b/>
              </w:rPr>
            </w:pPr>
            <w:r w:rsidRPr="00540263">
              <w:rPr>
                <w:rFonts w:eastAsiaTheme="minorHAnsi" w:cstheme="minorBidi"/>
                <w:b/>
              </w:rPr>
              <w:lastRenderedPageBreak/>
              <w:t>Õigusaktid, mida on eelnõu õigusaktina vastuvõtmisel vaja tunnistada kehtetuks, tühistada või muuta</w:t>
            </w:r>
          </w:p>
          <w:p w:rsidR="00265392" w:rsidRPr="00315681" w:rsidRDefault="00265392" w:rsidP="00CE7968">
            <w:pPr>
              <w:ind w:left="720"/>
              <w:contextualSpacing/>
              <w:rPr>
                <w:rFonts w:eastAsiaTheme="minorHAnsi" w:cstheme="minorBidi"/>
                <w:b/>
              </w:rPr>
            </w:pPr>
          </w:p>
        </w:tc>
      </w:tr>
      <w:tr w:rsidR="00265392" w:rsidRPr="00315681" w:rsidTr="00CE7968">
        <w:tc>
          <w:tcPr>
            <w:tcW w:w="9212" w:type="dxa"/>
          </w:tcPr>
          <w:p w:rsidR="00265392" w:rsidRDefault="00177EFF" w:rsidP="00CE7968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Ei ole.</w:t>
            </w:r>
          </w:p>
          <w:p w:rsidR="00265392" w:rsidRDefault="00265392" w:rsidP="00CE7968">
            <w:pPr>
              <w:rPr>
                <w:rFonts w:eastAsiaTheme="minorHAnsi" w:cstheme="minorBidi"/>
              </w:rPr>
            </w:pPr>
          </w:p>
          <w:p w:rsidR="00265392" w:rsidRPr="00315681" w:rsidRDefault="00265392" w:rsidP="0098284B">
            <w:pPr>
              <w:rPr>
                <w:rFonts w:eastAsiaTheme="minorHAnsi" w:cstheme="minorBidi"/>
              </w:rPr>
            </w:pPr>
          </w:p>
        </w:tc>
      </w:tr>
    </w:tbl>
    <w:p w:rsidR="00B67E65" w:rsidRDefault="00B67E65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03D03" w:rsidRPr="00315681" w:rsidTr="00CE7968">
        <w:tc>
          <w:tcPr>
            <w:tcW w:w="9212" w:type="dxa"/>
          </w:tcPr>
          <w:p w:rsidR="00503D03" w:rsidRPr="00540263" w:rsidRDefault="00503D03" w:rsidP="00CE7968">
            <w:pPr>
              <w:pStyle w:val="Loendilik"/>
              <w:numPr>
                <w:ilvl w:val="0"/>
                <w:numId w:val="1"/>
              </w:numPr>
              <w:suppressAutoHyphens w:val="0"/>
              <w:rPr>
                <w:rFonts w:eastAsiaTheme="minorHAnsi" w:cstheme="minorBidi"/>
                <w:b/>
              </w:rPr>
            </w:pPr>
            <w:r w:rsidRPr="00540263">
              <w:rPr>
                <w:rFonts w:eastAsiaTheme="minorHAnsi" w:cstheme="minorBidi"/>
                <w:b/>
              </w:rPr>
              <w:t>Õigusakti</w:t>
            </w:r>
            <w:r>
              <w:rPr>
                <w:rFonts w:eastAsiaTheme="minorHAnsi" w:cstheme="minorBidi"/>
                <w:b/>
              </w:rPr>
              <w:t xml:space="preserve"> vastuvõtmise</w:t>
            </w:r>
            <w:r w:rsidR="005B3C78">
              <w:rPr>
                <w:rFonts w:eastAsiaTheme="minorHAnsi" w:cstheme="minorBidi"/>
                <w:b/>
              </w:rPr>
              <w:t>ga kaasnevad</w:t>
            </w:r>
            <w:r w:rsidRPr="00540263">
              <w:rPr>
                <w:rFonts w:eastAsiaTheme="minorHAnsi" w:cstheme="minorBidi"/>
                <w:b/>
              </w:rPr>
              <w:t xml:space="preserve"> </w:t>
            </w:r>
            <w:r w:rsidR="005B3C78">
              <w:rPr>
                <w:rFonts w:eastAsiaTheme="minorHAnsi" w:cstheme="minorBidi"/>
                <w:b/>
              </w:rPr>
              <w:t>rakendusaktid</w:t>
            </w:r>
          </w:p>
          <w:p w:rsidR="00503D03" w:rsidRPr="00315681" w:rsidRDefault="00503D03" w:rsidP="00CE7968">
            <w:pPr>
              <w:ind w:left="720"/>
              <w:contextualSpacing/>
              <w:rPr>
                <w:rFonts w:eastAsiaTheme="minorHAnsi" w:cstheme="minorBidi"/>
                <w:b/>
              </w:rPr>
            </w:pPr>
          </w:p>
        </w:tc>
      </w:tr>
      <w:tr w:rsidR="00503D03" w:rsidRPr="00315681" w:rsidTr="00CE7968">
        <w:tc>
          <w:tcPr>
            <w:tcW w:w="9212" w:type="dxa"/>
          </w:tcPr>
          <w:p w:rsidR="00177EFF" w:rsidRPr="00624EB2" w:rsidRDefault="00177EFF" w:rsidP="00177EF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Peale </w:t>
            </w:r>
            <w:r w:rsidR="00676D19">
              <w:rPr>
                <w:rFonts w:eastAsia="Calibri"/>
              </w:rPr>
              <w:t xml:space="preserve">Märjamaa Vallavolikogu poolt </w:t>
            </w:r>
            <w:r>
              <w:rPr>
                <w:rFonts w:eastAsia="Calibri"/>
              </w:rPr>
              <w:t xml:space="preserve">eelarve </w:t>
            </w:r>
            <w:r w:rsidR="00676D19">
              <w:rPr>
                <w:rFonts w:eastAsia="Calibri"/>
              </w:rPr>
              <w:t>vastuvõtmist</w:t>
            </w:r>
            <w:r>
              <w:rPr>
                <w:rFonts w:eastAsia="Calibri"/>
              </w:rPr>
              <w:t xml:space="preserve"> kinnitab </w:t>
            </w:r>
            <w:r w:rsidRPr="00624EB2">
              <w:rPr>
                <w:rFonts w:eastAsia="Calibri"/>
              </w:rPr>
              <w:t>Märjamaa Vallavalitsus määrusega Märjamaa valla 201</w:t>
            </w:r>
            <w:r>
              <w:rPr>
                <w:rFonts w:eastAsia="Calibri"/>
              </w:rPr>
              <w:t>8</w:t>
            </w:r>
            <w:r w:rsidRPr="00624EB2">
              <w:rPr>
                <w:rFonts w:eastAsia="Calibri"/>
              </w:rPr>
              <w:t>. aasta alaeelarve</w:t>
            </w:r>
            <w:r>
              <w:rPr>
                <w:rFonts w:eastAsia="Calibri"/>
              </w:rPr>
              <w:t>d.</w:t>
            </w:r>
          </w:p>
          <w:p w:rsidR="00503D03" w:rsidRPr="00315681" w:rsidRDefault="00503D03" w:rsidP="00201DB0">
            <w:pPr>
              <w:rPr>
                <w:rFonts w:eastAsiaTheme="minorHAnsi" w:cstheme="minorBidi"/>
              </w:rPr>
            </w:pPr>
          </w:p>
        </w:tc>
      </w:tr>
    </w:tbl>
    <w:p w:rsidR="00503D03" w:rsidRDefault="00503D03" w:rsidP="0072786B">
      <w:pPr>
        <w:rPr>
          <w:rFonts w:eastAsiaTheme="minorHAnsi" w:cstheme="minorBidi"/>
        </w:rPr>
      </w:pPr>
    </w:p>
    <w:p w:rsidR="0072786B" w:rsidRDefault="0072786B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850FC9" w:rsidRPr="00315681" w:rsidTr="00CE7968">
        <w:tc>
          <w:tcPr>
            <w:tcW w:w="9212" w:type="dxa"/>
          </w:tcPr>
          <w:p w:rsidR="00850FC9" w:rsidRPr="00315681" w:rsidRDefault="00850FC9" w:rsidP="001E1AA1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Eelnõule lisatavad muud asjasse puutuvad materjalid </w:t>
            </w:r>
          </w:p>
        </w:tc>
      </w:tr>
      <w:tr w:rsidR="00850FC9" w:rsidRPr="00315681" w:rsidTr="00CE7968">
        <w:tc>
          <w:tcPr>
            <w:tcW w:w="9212" w:type="dxa"/>
          </w:tcPr>
          <w:p w:rsidR="001E1AA1" w:rsidRPr="001E1AA1" w:rsidRDefault="001E1AA1" w:rsidP="001E1AA1">
            <w:pPr>
              <w:rPr>
                <w:rFonts w:cs="Times New Roman"/>
                <w:sz w:val="22"/>
                <w:szCs w:val="24"/>
              </w:rPr>
            </w:pPr>
          </w:p>
          <w:p w:rsidR="001E1AA1" w:rsidRPr="001E1AA1" w:rsidRDefault="001E1AA1" w:rsidP="001E1AA1">
            <w:pPr>
              <w:rPr>
                <w:rFonts w:cs="Times New Roman"/>
                <w:sz w:val="22"/>
                <w:szCs w:val="24"/>
              </w:rPr>
            </w:pPr>
            <w:r w:rsidRPr="001E1AA1">
              <w:rPr>
                <w:rFonts w:cs="Times New Roman"/>
                <w:sz w:val="22"/>
                <w:szCs w:val="24"/>
              </w:rPr>
              <w:t xml:space="preserve">Märjamaa valla 2018. aasta eelarve eelnõule on lisatud järgmised lisad: </w:t>
            </w:r>
          </w:p>
          <w:p w:rsid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>Lisa 1 Märjamaa valla 2018. aasta koondeelarve;</w:t>
            </w:r>
          </w:p>
          <w:p w:rsidR="001E1AA1" w:rsidRP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>Lisa 2 Märjamaa valla 2018. aasta tulu- ja kulubaas;</w:t>
            </w:r>
          </w:p>
          <w:p w:rsidR="001E1AA1" w:rsidRP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>Lisa 3 Märjamaa valla 2018. aasta põhitegevuse kulud valdkondade lõikes;</w:t>
            </w:r>
          </w:p>
          <w:p w:rsid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>Lisa 4 Märjamaa valla 2018. aasta põhivara soetused valdkondade lõikes.</w:t>
            </w:r>
          </w:p>
          <w:p w:rsidR="001E1AA1" w:rsidRP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</w:p>
          <w:p w:rsidR="001E1AA1" w:rsidRP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>Eelnõule on lisatud seletuskiri koos lisadega</w:t>
            </w:r>
            <w:bookmarkStart w:id="0" w:name="_GoBack"/>
            <w:bookmarkEnd w:id="0"/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, milles on Exceli tabelites välja toodud </w:t>
            </w:r>
          </w:p>
          <w:p w:rsidR="001E1AA1" w:rsidRP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eelarve koondandmed ning andmed Märjamaa valla ja Vigala valla kohta eraldi. </w:t>
            </w:r>
          </w:p>
          <w:p w:rsidR="00850FC9" w:rsidRPr="001E1AA1" w:rsidRDefault="00850FC9" w:rsidP="00CE7968">
            <w:pPr>
              <w:rPr>
                <w:rFonts w:eastAsiaTheme="minorHAnsi" w:cstheme="minorBidi"/>
                <w:sz w:val="22"/>
              </w:rPr>
            </w:pPr>
          </w:p>
          <w:p w:rsidR="00850FC9" w:rsidRPr="001E1AA1" w:rsidRDefault="00850FC9" w:rsidP="00CE7968">
            <w:pPr>
              <w:rPr>
                <w:rFonts w:eastAsiaTheme="minorHAnsi" w:cstheme="minorBidi"/>
                <w:sz w:val="22"/>
              </w:rPr>
            </w:pPr>
          </w:p>
          <w:p w:rsidR="00850FC9" w:rsidRPr="001E1AA1" w:rsidRDefault="00850FC9" w:rsidP="00CE7968">
            <w:pPr>
              <w:rPr>
                <w:rFonts w:eastAsiaTheme="minorHAnsi" w:cstheme="minorBidi"/>
                <w:sz w:val="22"/>
              </w:rPr>
            </w:pPr>
          </w:p>
          <w:p w:rsidR="00850FC9" w:rsidRPr="001E1AA1" w:rsidRDefault="00567434" w:rsidP="00CE7968">
            <w:pPr>
              <w:rPr>
                <w:rFonts w:eastAsiaTheme="minorHAnsi" w:cstheme="minorBidi"/>
                <w:sz w:val="22"/>
              </w:rPr>
            </w:pPr>
            <w:r w:rsidRPr="001E1AA1">
              <w:rPr>
                <w:rFonts w:eastAsiaTheme="minorHAnsi" w:cstheme="minorBidi"/>
                <w:sz w:val="22"/>
              </w:rPr>
              <w:t xml:space="preserve"> </w:t>
            </w:r>
          </w:p>
          <w:p w:rsidR="00850FC9" w:rsidRPr="001E1AA1" w:rsidRDefault="00850FC9" w:rsidP="00CE7968">
            <w:pPr>
              <w:rPr>
                <w:rFonts w:eastAsiaTheme="minorHAnsi" w:cstheme="minorBidi"/>
                <w:sz w:val="22"/>
              </w:rPr>
            </w:pPr>
          </w:p>
        </w:tc>
      </w:tr>
    </w:tbl>
    <w:p w:rsidR="00850FC9" w:rsidRDefault="00850FC9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850FC9" w:rsidRPr="00315681" w:rsidTr="00196A03">
        <w:tc>
          <w:tcPr>
            <w:tcW w:w="4389" w:type="dxa"/>
          </w:tcPr>
          <w:p w:rsidR="00850FC9" w:rsidRPr="00315681" w:rsidRDefault="00850FC9" w:rsidP="00850FC9">
            <w:p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Eelnõu esitamise kuupäev</w:t>
            </w:r>
          </w:p>
        </w:tc>
        <w:tc>
          <w:tcPr>
            <w:tcW w:w="4390" w:type="dxa"/>
          </w:tcPr>
          <w:p w:rsidR="00850FC9" w:rsidRDefault="00667F8D" w:rsidP="00850FC9">
            <w:p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28.12.2017</w:t>
            </w:r>
          </w:p>
          <w:p w:rsidR="00850FC9" w:rsidRPr="00315681" w:rsidRDefault="00850FC9" w:rsidP="00850FC9">
            <w:pPr>
              <w:suppressAutoHyphens w:val="0"/>
              <w:contextualSpacing/>
              <w:rPr>
                <w:rFonts w:eastAsiaTheme="minorHAnsi" w:cstheme="minorBidi"/>
                <w:b/>
              </w:rPr>
            </w:pPr>
          </w:p>
        </w:tc>
      </w:tr>
    </w:tbl>
    <w:p w:rsidR="00850FC9" w:rsidRDefault="00850FC9" w:rsidP="0072786B">
      <w:pPr>
        <w:rPr>
          <w:rFonts w:eastAsiaTheme="minorHAnsi" w:cstheme="minorBidi"/>
        </w:rPr>
      </w:pPr>
    </w:p>
    <w:p w:rsidR="00850FC9" w:rsidRPr="00315681" w:rsidRDefault="00850FC9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788"/>
        <w:gridCol w:w="4316"/>
        <w:gridCol w:w="1675"/>
      </w:tblGrid>
      <w:tr w:rsidR="0072786B" w:rsidRPr="00315681" w:rsidTr="00A3430A">
        <w:tc>
          <w:tcPr>
            <w:tcW w:w="2802" w:type="dxa"/>
          </w:tcPr>
          <w:p w:rsidR="0072786B" w:rsidRPr="00315681" w:rsidRDefault="0072786B" w:rsidP="00A3430A">
            <w:pPr>
              <w:rPr>
                <w:rFonts w:eastAsiaTheme="minorHAnsi" w:cstheme="minorBidi"/>
                <w:b/>
              </w:rPr>
            </w:pPr>
            <w:r w:rsidRPr="00315681">
              <w:rPr>
                <w:rFonts w:eastAsiaTheme="minorHAnsi" w:cstheme="minorBidi"/>
                <w:b/>
              </w:rPr>
              <w:t xml:space="preserve">Eelnõu </w:t>
            </w:r>
            <w:proofErr w:type="spellStart"/>
            <w:r w:rsidRPr="00315681">
              <w:rPr>
                <w:rFonts w:eastAsiaTheme="minorHAnsi" w:cstheme="minorBidi"/>
                <w:b/>
              </w:rPr>
              <w:t>kooskõlastaja</w:t>
            </w:r>
            <w:proofErr w:type="spellEnd"/>
            <w:r w:rsidR="001020F5">
              <w:rPr>
                <w:rFonts w:eastAsiaTheme="minorHAnsi" w:cstheme="minorBidi"/>
                <w:b/>
              </w:rPr>
              <w:t>/arvamuse andja</w:t>
            </w:r>
            <w:r w:rsidRPr="00315681">
              <w:rPr>
                <w:rFonts w:eastAsiaTheme="minorHAnsi" w:cstheme="minorBidi"/>
                <w:b/>
              </w:rPr>
              <w:t>:</w:t>
            </w:r>
          </w:p>
          <w:p w:rsidR="0072786B" w:rsidRPr="00315681" w:rsidRDefault="0072786B" w:rsidP="00A3430A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677" w:type="dxa"/>
          </w:tcPr>
          <w:p w:rsidR="0072786B" w:rsidRPr="00315681" w:rsidRDefault="0072786B" w:rsidP="00A3430A">
            <w:pPr>
              <w:rPr>
                <w:rFonts w:eastAsiaTheme="minorHAnsi" w:cstheme="minorBidi"/>
                <w:b/>
              </w:rPr>
            </w:pPr>
            <w:r w:rsidRPr="00315681">
              <w:rPr>
                <w:rFonts w:eastAsiaTheme="minorHAnsi" w:cstheme="minorBidi"/>
                <w:b/>
              </w:rPr>
              <w:t>Seisukoht ja põhjendus, ettepanekud:</w:t>
            </w:r>
          </w:p>
        </w:tc>
        <w:tc>
          <w:tcPr>
            <w:tcW w:w="1733" w:type="dxa"/>
          </w:tcPr>
          <w:p w:rsidR="0072786B" w:rsidRPr="00315681" w:rsidRDefault="0072786B" w:rsidP="00A3430A">
            <w:pPr>
              <w:rPr>
                <w:rFonts w:eastAsiaTheme="minorHAnsi" w:cstheme="minorBidi"/>
                <w:b/>
              </w:rPr>
            </w:pPr>
            <w:r w:rsidRPr="00315681">
              <w:rPr>
                <w:rFonts w:eastAsiaTheme="minorHAnsi" w:cstheme="minorBidi"/>
                <w:b/>
              </w:rPr>
              <w:t>Kuupäev:</w:t>
            </w:r>
          </w:p>
        </w:tc>
      </w:tr>
      <w:tr w:rsidR="0072786B" w:rsidRPr="00315681" w:rsidTr="00A3430A">
        <w:tc>
          <w:tcPr>
            <w:tcW w:w="2802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4677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1733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</w:tr>
      <w:tr w:rsidR="0072786B" w:rsidRPr="00315681" w:rsidTr="00A3430A">
        <w:tc>
          <w:tcPr>
            <w:tcW w:w="2802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4677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1733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</w:tr>
      <w:tr w:rsidR="0072786B" w:rsidRPr="00315681" w:rsidTr="00A3430A">
        <w:tc>
          <w:tcPr>
            <w:tcW w:w="2802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4677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1733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</w:tr>
    </w:tbl>
    <w:p w:rsidR="0072786B" w:rsidRPr="00315681" w:rsidRDefault="0072786B" w:rsidP="0072786B">
      <w:pPr>
        <w:rPr>
          <w:rFonts w:eastAsiaTheme="minorHAnsi" w:cstheme="minorBidi"/>
        </w:rPr>
      </w:pPr>
    </w:p>
    <w:p w:rsidR="0072786B" w:rsidRPr="00A16EA0" w:rsidRDefault="0072786B" w:rsidP="0072786B">
      <w:pPr>
        <w:rPr>
          <w:szCs w:val="24"/>
        </w:rPr>
      </w:pPr>
    </w:p>
    <w:p w:rsidR="009D6B11" w:rsidRDefault="009D6B11"/>
    <w:sectPr w:rsidR="009D6B11" w:rsidSect="00202A18">
      <w:headerReference w:type="first" r:id="rId13"/>
      <w:pgSz w:w="11906" w:h="16838"/>
      <w:pgMar w:top="709" w:right="1416" w:bottom="709" w:left="1701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AB" w:rsidRDefault="006837AB" w:rsidP="0072786B">
      <w:r>
        <w:separator/>
      </w:r>
    </w:p>
  </w:endnote>
  <w:endnote w:type="continuationSeparator" w:id="0">
    <w:p w:rsidR="006837AB" w:rsidRDefault="006837AB" w:rsidP="0072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MS Gothic"/>
    <w:charset w:val="80"/>
    <w:family w:val="roman"/>
    <w:pitch w:val="default"/>
    <w:sig w:usb0="00000000" w:usb1="08070000" w:usb2="00000010" w:usb3="00000000" w:csb0="0002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AB" w:rsidRDefault="006837AB" w:rsidP="0072786B">
      <w:r>
        <w:separator/>
      </w:r>
    </w:p>
  </w:footnote>
  <w:footnote w:type="continuationSeparator" w:id="0">
    <w:p w:rsidR="006837AB" w:rsidRDefault="006837AB" w:rsidP="0072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D0" w:rsidRPr="00E656A8" w:rsidRDefault="006837AB" w:rsidP="00E656A8">
    <w:pPr>
      <w:pStyle w:val="Pis"/>
      <w:tabs>
        <w:tab w:val="clear" w:pos="9072"/>
        <w:tab w:val="right" w:pos="87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5D4"/>
    <w:multiLevelType w:val="hybridMultilevel"/>
    <w:tmpl w:val="D592BA0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02AF"/>
    <w:multiLevelType w:val="hybridMultilevel"/>
    <w:tmpl w:val="74905208"/>
    <w:lvl w:ilvl="0" w:tplc="77AA4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F3598"/>
    <w:multiLevelType w:val="hybridMultilevel"/>
    <w:tmpl w:val="915870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4"/>
    <w:rsid w:val="00066E7D"/>
    <w:rsid w:val="001020F5"/>
    <w:rsid w:val="001103D9"/>
    <w:rsid w:val="00110862"/>
    <w:rsid w:val="00117385"/>
    <w:rsid w:val="00177EFF"/>
    <w:rsid w:val="001B5652"/>
    <w:rsid w:val="001E1AA1"/>
    <w:rsid w:val="001F5892"/>
    <w:rsid w:val="001F7E73"/>
    <w:rsid w:val="00201DB0"/>
    <w:rsid w:val="0025509F"/>
    <w:rsid w:val="002631A6"/>
    <w:rsid w:val="00265392"/>
    <w:rsid w:val="00265B45"/>
    <w:rsid w:val="0029327A"/>
    <w:rsid w:val="00293849"/>
    <w:rsid w:val="002E23D9"/>
    <w:rsid w:val="003E5877"/>
    <w:rsid w:val="0045286F"/>
    <w:rsid w:val="00470572"/>
    <w:rsid w:val="004F64B5"/>
    <w:rsid w:val="00503D03"/>
    <w:rsid w:val="00514CF3"/>
    <w:rsid w:val="00540263"/>
    <w:rsid w:val="00567434"/>
    <w:rsid w:val="00580F59"/>
    <w:rsid w:val="005B3C78"/>
    <w:rsid w:val="005E11E9"/>
    <w:rsid w:val="005E3DB6"/>
    <w:rsid w:val="006140D0"/>
    <w:rsid w:val="006445B9"/>
    <w:rsid w:val="00667F8D"/>
    <w:rsid w:val="00676D19"/>
    <w:rsid w:val="006837AB"/>
    <w:rsid w:val="0072786B"/>
    <w:rsid w:val="007A041B"/>
    <w:rsid w:val="007C1901"/>
    <w:rsid w:val="00850FC9"/>
    <w:rsid w:val="00873041"/>
    <w:rsid w:val="00875A3B"/>
    <w:rsid w:val="008D0291"/>
    <w:rsid w:val="009312D8"/>
    <w:rsid w:val="00933AC5"/>
    <w:rsid w:val="009575B2"/>
    <w:rsid w:val="0098284B"/>
    <w:rsid w:val="009A4A34"/>
    <w:rsid w:val="009B1F10"/>
    <w:rsid w:val="009D6B11"/>
    <w:rsid w:val="00A4308E"/>
    <w:rsid w:val="00AB48B7"/>
    <w:rsid w:val="00B14959"/>
    <w:rsid w:val="00B67E65"/>
    <w:rsid w:val="00B73596"/>
    <w:rsid w:val="00B75AAD"/>
    <w:rsid w:val="00BA04F7"/>
    <w:rsid w:val="00BC624B"/>
    <w:rsid w:val="00C11977"/>
    <w:rsid w:val="00C15291"/>
    <w:rsid w:val="00C56193"/>
    <w:rsid w:val="00CB5369"/>
    <w:rsid w:val="00CC1F2C"/>
    <w:rsid w:val="00CE4747"/>
    <w:rsid w:val="00D22684"/>
    <w:rsid w:val="00EC1343"/>
    <w:rsid w:val="00F87BB0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3A70D-8BCB-4D98-BA2B-4D6D072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2786B"/>
    <w:pPr>
      <w:suppressAutoHyphens/>
      <w:spacing w:after="0" w:line="240" w:lineRule="auto"/>
      <w:jc w:val="both"/>
    </w:pPr>
    <w:rPr>
      <w:rFonts w:ascii="Times New Roman" w:eastAsia="SimSun" w:hAnsi="Times New Roman" w:cs="font297"/>
      <w:sz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2786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2786B"/>
    <w:rPr>
      <w:rFonts w:ascii="Times New Roman" w:eastAsia="SimSun" w:hAnsi="Times New Roman" w:cs="font297"/>
      <w:sz w:val="24"/>
      <w:lang w:eastAsia="ar-SA"/>
    </w:rPr>
  </w:style>
  <w:style w:type="table" w:styleId="Kontuurtabel">
    <w:name w:val="Table Grid"/>
    <w:basedOn w:val="Normaaltabel"/>
    <w:uiPriority w:val="59"/>
    <w:rsid w:val="0072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72786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2786B"/>
    <w:rPr>
      <w:rFonts w:ascii="Times New Roman" w:eastAsia="SimSun" w:hAnsi="Times New Roman" w:cs="font297"/>
      <w:sz w:val="24"/>
      <w:lang w:eastAsia="ar-SA"/>
    </w:rPr>
  </w:style>
  <w:style w:type="paragraph" w:styleId="Loendilik">
    <w:name w:val="List Paragraph"/>
    <w:basedOn w:val="Normaallaad"/>
    <w:uiPriority w:val="34"/>
    <w:qFormat/>
    <w:rsid w:val="0054026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75AAD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9A4A34"/>
    <w:rPr>
      <w:color w:val="954F72" w:themeColor="followedHyperlink"/>
      <w:u w:val="single"/>
    </w:rPr>
  </w:style>
  <w:style w:type="paragraph" w:customStyle="1" w:styleId="Sisu">
    <w:name w:val="Sisu"/>
    <w:basedOn w:val="Kehatekst"/>
    <w:rsid w:val="00B14959"/>
    <w:pPr>
      <w:suppressAutoHyphens w:val="0"/>
    </w:pPr>
    <w:rPr>
      <w:rFonts w:eastAsia="Times New Roman" w:cs="Times New Roman"/>
      <w:b/>
      <w:bCs/>
      <w:szCs w:val="20"/>
      <w:lang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B1495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B14959"/>
    <w:rPr>
      <w:rFonts w:ascii="Times New Roman" w:eastAsia="SimSun" w:hAnsi="Times New Roman" w:cs="font297"/>
      <w:sz w:val="24"/>
      <w:lang w:eastAsia="ar-SA"/>
    </w:rPr>
  </w:style>
  <w:style w:type="paragraph" w:customStyle="1" w:styleId="Default">
    <w:name w:val="Default"/>
    <w:rsid w:val="00265B45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1062016009?leiaKehti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6032013006?leiaKehtiv" TargetMode="External"/><Relationship Id="rId12" Type="http://schemas.openxmlformats.org/officeDocument/2006/relationships/hyperlink" Target="https://www.riigiteataja.ee/akt/426062013015?leiaKeh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126032013006?leiaKehti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121062016009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6062013015?leiaKeht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950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</dc:creator>
  <cp:keywords/>
  <dc:description/>
  <cp:lastModifiedBy>Lea Laurits</cp:lastModifiedBy>
  <cp:revision>12</cp:revision>
  <dcterms:created xsi:type="dcterms:W3CDTF">2017-12-18T20:36:00Z</dcterms:created>
  <dcterms:modified xsi:type="dcterms:W3CDTF">2017-12-27T08:00:00Z</dcterms:modified>
</cp:coreProperties>
</file>